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3B" w:rsidRPr="002D7042" w:rsidRDefault="00C56A3B" w:rsidP="00C56A3B">
      <w:pPr>
        <w:autoSpaceDE w:val="0"/>
        <w:autoSpaceDN w:val="0"/>
        <w:adjustRightInd w:val="0"/>
        <w:spacing w:after="0" w:line="240" w:lineRule="auto"/>
        <w:rPr>
          <w:rFonts w:ascii="DTLProkyonT" w:hAnsi="DTLProkyonT" w:cs="DTLProkyonT"/>
          <w:color w:val="8CBD3A"/>
          <w:sz w:val="26"/>
          <w:szCs w:val="26"/>
        </w:rPr>
      </w:pPr>
      <w:bookmarkStart w:id="0" w:name="_GoBack"/>
      <w:bookmarkEnd w:id="0"/>
      <w:r w:rsidRPr="002D7042">
        <w:rPr>
          <w:rFonts w:ascii="DTLProkyonT" w:hAnsi="DTLProkyonT" w:cs="DTLProkyonT"/>
          <w:color w:val="8CBD3A"/>
          <w:sz w:val="26"/>
          <w:szCs w:val="26"/>
        </w:rPr>
        <w:t>Merkblatt über die möglichen Folgen einer Befreiung von der Rentenversicherungspflicht</w:t>
      </w:r>
    </w:p>
    <w:p w:rsidR="00C56A3B" w:rsidRDefault="00C56A3B" w:rsidP="00C56A3B">
      <w:pPr>
        <w:autoSpaceDE w:val="0"/>
        <w:autoSpaceDN w:val="0"/>
        <w:adjustRightInd w:val="0"/>
        <w:spacing w:after="0" w:line="240" w:lineRule="auto"/>
        <w:rPr>
          <w:rFonts w:ascii="DTLProkyonT" w:hAnsi="DTLProkyonT" w:cs="DTLProkyonT"/>
          <w:color w:val="C50314"/>
          <w:sz w:val="21"/>
          <w:szCs w:val="21"/>
        </w:rPr>
      </w:pPr>
    </w:p>
    <w:p w:rsidR="00C56A3B" w:rsidRPr="002D7042" w:rsidRDefault="00C56A3B" w:rsidP="00C56A3B">
      <w:pPr>
        <w:autoSpaceDE w:val="0"/>
        <w:autoSpaceDN w:val="0"/>
        <w:adjustRightInd w:val="0"/>
        <w:spacing w:after="0" w:line="240" w:lineRule="auto"/>
        <w:rPr>
          <w:rFonts w:ascii="DTLProkyonT" w:hAnsi="DTLProkyonT" w:cs="DTLProkyonT"/>
          <w:color w:val="8CBD3A"/>
          <w:sz w:val="21"/>
          <w:szCs w:val="21"/>
        </w:rPr>
      </w:pPr>
      <w:r w:rsidRPr="002D7042">
        <w:rPr>
          <w:rFonts w:ascii="DTLProkyonT" w:hAnsi="DTLProkyonT" w:cs="DTLProkyonT"/>
          <w:color w:val="8CBD3A"/>
          <w:sz w:val="21"/>
          <w:szCs w:val="21"/>
        </w:rPr>
        <w:t>Allgemeines</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Seit dem 1. Januar 2013 unterliegen Arbeitnehmer, die eine geringfügig entlohnte Beschäftigung (450-Euro-Minijob) ausüben, grundsätzlich der Versicherungs- und vollen Beitragspflicht in der gesetzlichen Rentenversicherung. Der vom Arbeitnehmer zu tragende Anteil am Rentenversicherungsbeitrag beläuft sich auf 3,9 Prozent (bzw. 13,9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18,9 Prozent. Zu beachten ist, dass der volle Rentenversicherungsbeitrag mindestens von einem Arbeitsentgelt in Höhe von 175 Euro zu zahlen ist.</w:t>
      </w:r>
    </w:p>
    <w:p w:rsidR="00C56A3B" w:rsidRDefault="00C56A3B" w:rsidP="00C56A3B">
      <w:pPr>
        <w:autoSpaceDE w:val="0"/>
        <w:autoSpaceDN w:val="0"/>
        <w:adjustRightInd w:val="0"/>
        <w:spacing w:after="0" w:line="240" w:lineRule="auto"/>
        <w:rPr>
          <w:rFonts w:ascii="DTLProkyonT" w:hAnsi="DTLProkyonT" w:cs="DTLProkyonT"/>
          <w:color w:val="C50314"/>
          <w:sz w:val="21"/>
          <w:szCs w:val="21"/>
        </w:rPr>
      </w:pPr>
    </w:p>
    <w:p w:rsidR="00C56A3B" w:rsidRPr="002D7042" w:rsidRDefault="00C56A3B" w:rsidP="00C56A3B">
      <w:pPr>
        <w:autoSpaceDE w:val="0"/>
        <w:autoSpaceDN w:val="0"/>
        <w:adjustRightInd w:val="0"/>
        <w:spacing w:after="0" w:line="240" w:lineRule="auto"/>
        <w:rPr>
          <w:rFonts w:ascii="DTLProkyonT" w:hAnsi="DTLProkyonT" w:cs="DTLProkyonT"/>
          <w:color w:val="8CBD3A"/>
          <w:sz w:val="21"/>
          <w:szCs w:val="21"/>
        </w:rPr>
      </w:pPr>
      <w:r w:rsidRPr="002D7042">
        <w:rPr>
          <w:rFonts w:ascii="DTLProkyonT" w:hAnsi="DTLProkyonT" w:cs="DTLProkyonT"/>
          <w:color w:val="8CBD3A"/>
          <w:sz w:val="21"/>
          <w:szCs w:val="21"/>
        </w:rPr>
        <w:t>Vorteile der vollen Beitragszahlung zur Rentenversicherung</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einen früheren Rentenbeginn,</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Ansprüche auf Leistungen zur Rehabilitation (sowohl im medizinischen Bereich als auch im Arbeitsleben), den Anspruch auf Übergangsgeld bei Rehabilitationsmaßnahmen der gesetzlichen Rentenversicherung, die Begründung oder Aufrechterhaltung des Anspruchs auf eine Rente wegen Erwerbsminderung, den Rechtsanspruch auf Entgeltumwandlung für eine betriebliche Altersversorgung und die Erfüllung der Zugangsvoraussetzungen für eine private Altersvorsorge mit staatlicher Förderung (zum Beispiel die so genannte Riester-Rente) für den Arbeitnehmer und gegebenenfalls sogar den Ehepartner. Darüber hinaus wird das Arbeitsentgelt nicht nur anteilig, sondern in voller Höhe bei der Berechnung der Rente berücksichtigt.</w:t>
      </w:r>
    </w:p>
    <w:p w:rsidR="00C56A3B" w:rsidRDefault="00C56A3B" w:rsidP="00C56A3B">
      <w:pPr>
        <w:autoSpaceDE w:val="0"/>
        <w:autoSpaceDN w:val="0"/>
        <w:adjustRightInd w:val="0"/>
        <w:spacing w:after="0" w:line="240" w:lineRule="auto"/>
        <w:rPr>
          <w:rFonts w:ascii="DTLProkyonT" w:hAnsi="DTLProkyonT" w:cs="DTLProkyonT"/>
          <w:color w:val="C50314"/>
          <w:sz w:val="21"/>
          <w:szCs w:val="21"/>
        </w:rPr>
      </w:pPr>
    </w:p>
    <w:p w:rsidR="00C56A3B" w:rsidRPr="002D7042" w:rsidRDefault="00C56A3B" w:rsidP="00C56A3B">
      <w:pPr>
        <w:autoSpaceDE w:val="0"/>
        <w:autoSpaceDN w:val="0"/>
        <w:adjustRightInd w:val="0"/>
        <w:spacing w:after="0" w:line="240" w:lineRule="auto"/>
        <w:rPr>
          <w:rFonts w:ascii="DTLProkyonT" w:hAnsi="DTLProkyonT" w:cs="DTLProkyonT"/>
          <w:color w:val="8CBD3A"/>
          <w:sz w:val="21"/>
          <w:szCs w:val="21"/>
        </w:rPr>
      </w:pPr>
      <w:r w:rsidRPr="002D7042">
        <w:rPr>
          <w:rFonts w:ascii="DTLProkyonT" w:hAnsi="DTLProkyonT" w:cs="DTLProkyonT"/>
          <w:color w:val="8CBD3A"/>
          <w:sz w:val="21"/>
          <w:szCs w:val="21"/>
        </w:rPr>
        <w:t>Antrag auf Befreiung von der Rentenversicherungspflicht</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Ist die Versicherungspflicht nicht gewollt, kann sich der Arbeitnehmer von ihr befreien lassen. Hierzu muss er seinem 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rsidR="00C56A3B" w:rsidRDefault="00C56A3B" w:rsidP="00C56A3B">
      <w:pPr>
        <w:autoSpaceDE w:val="0"/>
        <w:autoSpaceDN w:val="0"/>
        <w:adjustRightInd w:val="0"/>
        <w:spacing w:after="0" w:line="240" w:lineRule="auto"/>
        <w:rPr>
          <w:rFonts w:ascii="DTLProkyonT" w:hAnsi="DTLProkyonT" w:cs="DTLProkyonT"/>
          <w:color w:val="C50314"/>
          <w:sz w:val="21"/>
          <w:szCs w:val="21"/>
        </w:rPr>
      </w:pPr>
    </w:p>
    <w:p w:rsidR="00C56A3B" w:rsidRPr="002D7042" w:rsidRDefault="00C56A3B" w:rsidP="00C56A3B">
      <w:pPr>
        <w:autoSpaceDE w:val="0"/>
        <w:autoSpaceDN w:val="0"/>
        <w:adjustRightInd w:val="0"/>
        <w:spacing w:after="0" w:line="240" w:lineRule="auto"/>
        <w:rPr>
          <w:rFonts w:ascii="DTLProkyonT" w:hAnsi="DTLProkyonT" w:cs="DTLProkyonT"/>
          <w:color w:val="8CBD3A"/>
          <w:sz w:val="21"/>
          <w:szCs w:val="21"/>
        </w:rPr>
      </w:pPr>
      <w:r w:rsidRPr="002D7042">
        <w:rPr>
          <w:rFonts w:ascii="DTLProkyonT" w:hAnsi="DTLProkyonT" w:cs="DTLProkyonT"/>
          <w:color w:val="8CBD3A"/>
          <w:sz w:val="21"/>
          <w:szCs w:val="21"/>
        </w:rPr>
        <w:t>Konsequenzen aus der Befreiung von der Rentenversicherungspflicht</w:t>
      </w:r>
    </w:p>
    <w:p w:rsidR="00C62895"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Geringfügig entlohnte Beschäftigte, die die Befreiung von der Rentenversicherungspflicht beantragen, verzichten freiwillig auf die oben genannten Vorteile. Durch die Befreiung zahlt lediglich der Arbeitgeber den Pauschalbeitrag in Höhe von 15 Prozent (bzw. 5 Prozent bei Beschäftigungen in Privathaushalten)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Ich habe das Merkblatt zur Kenntnis genommen und bin vom Arbeitgeber hinreichend aufgeklärt worden.</w:t>
      </w: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p>
    <w:p w:rsidR="00C56A3B" w:rsidRDefault="00C56A3B" w:rsidP="00C56A3B">
      <w:pPr>
        <w:autoSpaceDE w:val="0"/>
        <w:autoSpaceDN w:val="0"/>
        <w:adjustRightInd w:val="0"/>
        <w:spacing w:after="0" w:line="240" w:lineRule="auto"/>
        <w:rPr>
          <w:rFonts w:ascii="Profile-Light" w:hAnsi="Profile-Light" w:cs="Profile-Light"/>
          <w:color w:val="000000"/>
          <w:sz w:val="20"/>
          <w:szCs w:val="20"/>
        </w:rPr>
      </w:pPr>
    </w:p>
    <w:p w:rsidR="00C56A3B" w:rsidRPr="00C56A3B" w:rsidRDefault="00C56A3B" w:rsidP="00C56A3B">
      <w:pPr>
        <w:autoSpaceDE w:val="0"/>
        <w:autoSpaceDN w:val="0"/>
        <w:adjustRightInd w:val="0"/>
        <w:spacing w:after="0" w:line="240" w:lineRule="auto"/>
        <w:rPr>
          <w:rFonts w:ascii="Profile-Light" w:hAnsi="Profile-Light" w:cs="Profile-Light"/>
          <w:color w:val="000000"/>
          <w:sz w:val="20"/>
          <w:szCs w:val="20"/>
        </w:rPr>
      </w:pPr>
      <w:r>
        <w:rPr>
          <w:rFonts w:ascii="Profile-Light" w:hAnsi="Profile-Light" w:cs="Profile-Light"/>
          <w:color w:val="000000"/>
          <w:sz w:val="20"/>
          <w:szCs w:val="20"/>
        </w:rPr>
        <w:t>Burgwedel, __________________</w:t>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t>___________________________</w:t>
      </w:r>
      <w:r>
        <w:rPr>
          <w:rFonts w:ascii="Profile-Light" w:hAnsi="Profile-Light" w:cs="Profile-Light"/>
          <w:color w:val="000000"/>
          <w:sz w:val="20"/>
          <w:szCs w:val="20"/>
        </w:rPr>
        <w:br/>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r>
      <w:r>
        <w:rPr>
          <w:rFonts w:ascii="Profile-Light" w:hAnsi="Profile-Light" w:cs="Profile-Light"/>
          <w:color w:val="000000"/>
          <w:sz w:val="20"/>
          <w:szCs w:val="20"/>
        </w:rPr>
        <w:tab/>
        <w:t>Unterschrift Arbeitnehmer</w:t>
      </w:r>
    </w:p>
    <w:sectPr w:rsidR="00C56A3B" w:rsidRPr="00C56A3B" w:rsidSect="00C56A3B">
      <w:headerReference w:type="default" r:id="rId7"/>
      <w:pgSz w:w="11906" w:h="16838"/>
      <w:pgMar w:top="1417"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A1" w:rsidRDefault="00265CA1" w:rsidP="00C56A3B">
      <w:pPr>
        <w:spacing w:after="0" w:line="240" w:lineRule="auto"/>
      </w:pPr>
      <w:r>
        <w:separator/>
      </w:r>
    </w:p>
  </w:endnote>
  <w:endnote w:type="continuationSeparator" w:id="0">
    <w:p w:rsidR="00265CA1" w:rsidRDefault="00265CA1" w:rsidP="00C5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ProkyonT">
    <w:panose1 w:val="00000000000000000000"/>
    <w:charset w:val="00"/>
    <w:family w:val="auto"/>
    <w:notTrueType/>
    <w:pitch w:val="default"/>
    <w:sig w:usb0="00000003" w:usb1="00000000" w:usb2="00000000" w:usb3="00000000" w:csb0="00000001" w:csb1="00000000"/>
  </w:font>
  <w:font w:name="Profile-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A1" w:rsidRDefault="00265CA1" w:rsidP="00C56A3B">
      <w:pPr>
        <w:spacing w:after="0" w:line="240" w:lineRule="auto"/>
      </w:pPr>
      <w:r>
        <w:separator/>
      </w:r>
    </w:p>
  </w:footnote>
  <w:footnote w:type="continuationSeparator" w:id="0">
    <w:p w:rsidR="00265CA1" w:rsidRDefault="00265CA1" w:rsidP="00C56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3B" w:rsidRPr="004858EF" w:rsidRDefault="002D7042" w:rsidP="002D7042">
    <w:pPr>
      <w:pStyle w:val="Kopfzeile"/>
    </w:pPr>
    <w:r>
      <w:rPr>
        <w:noProof/>
        <w:lang w:eastAsia="de-DE"/>
      </w:rPr>
      <w:drawing>
        <wp:anchor distT="0" distB="0" distL="114300" distR="114300" simplePos="0" relativeHeight="251658240" behindDoc="1" locked="0" layoutInCell="1" allowOverlap="1">
          <wp:simplePos x="0" y="0"/>
          <wp:positionH relativeFrom="column">
            <wp:posOffset>5349471</wp:posOffset>
          </wp:positionH>
          <wp:positionV relativeFrom="paragraph">
            <wp:posOffset>-216247</wp:posOffset>
          </wp:positionV>
          <wp:extent cx="1008647" cy="1163782"/>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 016 TSG Logo 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647" cy="1163782"/>
                  </a:xfrm>
                  <a:prstGeom prst="rect">
                    <a:avLst/>
                  </a:prstGeom>
                </pic:spPr>
              </pic:pic>
            </a:graphicData>
          </a:graphic>
          <wp14:sizeRelH relativeFrom="page">
            <wp14:pctWidth>0</wp14:pctWidth>
          </wp14:sizeRelH>
          <wp14:sizeRelV relativeFrom="page">
            <wp14:pctHeight>0</wp14:pctHeight>
          </wp14:sizeRelV>
        </wp:anchor>
      </w:drawing>
    </w:r>
  </w:p>
  <w:p w:rsidR="00C56A3B" w:rsidRPr="004858EF" w:rsidRDefault="00C56A3B" w:rsidP="002D7042">
    <w:pPr>
      <w:spacing w:after="0"/>
      <w:rPr>
        <w:rFonts w:ascii="Verdana" w:hAnsi="Verdana" w:cs="Times New Roman"/>
        <w:sz w:val="30"/>
        <w:szCs w:val="30"/>
      </w:rPr>
    </w:pPr>
    <w:r>
      <w:rPr>
        <w:rFonts w:ascii="Verdana" w:hAnsi="Verdana" w:cs="Times New Roman"/>
        <w:sz w:val="30"/>
        <w:szCs w:val="30"/>
      </w:rPr>
      <w:t>Merkblatt über die möglichen Folgen einer</w:t>
    </w:r>
    <w:r w:rsidR="002D7042">
      <w:rPr>
        <w:rFonts w:ascii="Verdana" w:hAnsi="Verdana" w:cs="Times New Roman"/>
        <w:sz w:val="30"/>
        <w:szCs w:val="30"/>
      </w:rPr>
      <w:t xml:space="preserve"> </w:t>
    </w:r>
    <w:r w:rsidR="002D7042">
      <w:rPr>
        <w:rFonts w:ascii="Verdana" w:hAnsi="Verdana" w:cs="Times New Roman"/>
        <w:sz w:val="30"/>
        <w:szCs w:val="30"/>
      </w:rPr>
      <w:br/>
    </w:r>
    <w:r>
      <w:rPr>
        <w:rFonts w:ascii="Verdana" w:hAnsi="Verdana" w:cs="Times New Roman"/>
        <w:sz w:val="30"/>
        <w:szCs w:val="30"/>
      </w:rPr>
      <w:t>Befreiung von der Rentenversicherungspflicht</w:t>
    </w:r>
  </w:p>
  <w:p w:rsidR="00C56A3B" w:rsidRDefault="00C56A3B" w:rsidP="002D7042">
    <w:pPr>
      <w:pStyle w:val="Kopfzeile"/>
      <w:pBdr>
        <w:bottom w:val="single" w:sz="4" w:space="1" w:color="auto"/>
      </w:pBdr>
    </w:pPr>
  </w:p>
  <w:p w:rsidR="00C56A3B" w:rsidRDefault="00C56A3B" w:rsidP="002D7042">
    <w:pPr>
      <w:pStyle w:val="Kopfzeile"/>
      <w:pBdr>
        <w:bottom w:val="single" w:sz="4" w:space="1" w:color="auto"/>
      </w:pBdr>
    </w:pPr>
    <w:r>
      <w:t>Version</w:t>
    </w:r>
    <w:r w:rsidRPr="00E518A2">
      <w:t xml:space="preserve"> 1</w:t>
    </w:r>
    <w:r>
      <w:t>.0</w:t>
    </w:r>
    <w:r w:rsidRPr="00E518A2">
      <w:t xml:space="preserve"> | Stand: 15.06.2015</w:t>
    </w:r>
  </w:p>
  <w:p w:rsidR="00C56A3B" w:rsidRDefault="00C56A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3B"/>
    <w:rsid w:val="00265CA1"/>
    <w:rsid w:val="002D7042"/>
    <w:rsid w:val="007949D1"/>
    <w:rsid w:val="007A46CD"/>
    <w:rsid w:val="00C56A3B"/>
    <w:rsid w:val="00C62895"/>
    <w:rsid w:val="00FC0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A3B"/>
  </w:style>
  <w:style w:type="paragraph" w:styleId="Fuzeile">
    <w:name w:val="footer"/>
    <w:basedOn w:val="Standard"/>
    <w:link w:val="FuzeileZchn"/>
    <w:uiPriority w:val="99"/>
    <w:unhideWhenUsed/>
    <w:rsid w:val="00C56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A3B"/>
  </w:style>
  <w:style w:type="paragraph" w:styleId="Sprechblasentext">
    <w:name w:val="Balloon Text"/>
    <w:basedOn w:val="Standard"/>
    <w:link w:val="SprechblasentextZchn"/>
    <w:uiPriority w:val="99"/>
    <w:semiHidden/>
    <w:unhideWhenUsed/>
    <w:rsid w:val="002D70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A3B"/>
  </w:style>
  <w:style w:type="paragraph" w:styleId="Fuzeile">
    <w:name w:val="footer"/>
    <w:basedOn w:val="Standard"/>
    <w:link w:val="FuzeileZchn"/>
    <w:uiPriority w:val="99"/>
    <w:unhideWhenUsed/>
    <w:rsid w:val="00C56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A3B"/>
  </w:style>
  <w:style w:type="paragraph" w:styleId="Sprechblasentext">
    <w:name w:val="Balloon Text"/>
    <w:basedOn w:val="Standard"/>
    <w:link w:val="SprechblasentextZchn"/>
    <w:uiPriority w:val="99"/>
    <w:semiHidden/>
    <w:unhideWhenUsed/>
    <w:rsid w:val="002D70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BFJ</dc:creator>
  <cp:lastModifiedBy>Nils Budde</cp:lastModifiedBy>
  <cp:revision>2</cp:revision>
  <dcterms:created xsi:type="dcterms:W3CDTF">2021-07-30T09:53:00Z</dcterms:created>
  <dcterms:modified xsi:type="dcterms:W3CDTF">2021-07-30T09:53:00Z</dcterms:modified>
</cp:coreProperties>
</file>